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CA3563C" w14:textId="51E19C7F" w:rsidR="00543611" w:rsidRDefault="009E7C2B" w:rsidP="005A74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Průzkum Home Credit</w:t>
      </w:r>
      <w:r w:rsidR="00F65636">
        <w:rPr>
          <w:b/>
          <w:bCs/>
          <w:sz w:val="28"/>
          <w:szCs w:val="28"/>
        </w:rPr>
        <w:t>u</w:t>
      </w:r>
      <w:r w:rsidR="00C26B9E">
        <w:rPr>
          <w:b/>
          <w:bCs/>
          <w:sz w:val="28"/>
          <w:szCs w:val="28"/>
        </w:rPr>
        <w:t xml:space="preserve">: </w:t>
      </w:r>
      <w:r w:rsidR="00117E8D">
        <w:rPr>
          <w:b/>
          <w:bCs/>
          <w:sz w:val="28"/>
          <w:szCs w:val="28"/>
        </w:rPr>
        <w:t xml:space="preserve">podnikatelé </w:t>
      </w:r>
      <w:r w:rsidR="004B000E">
        <w:rPr>
          <w:b/>
          <w:bCs/>
          <w:sz w:val="28"/>
          <w:szCs w:val="28"/>
        </w:rPr>
        <w:t>hledají informace o půjčkách na internetu, živnostníci se více než firmy obávají vývoje ekonomiky</w:t>
      </w:r>
    </w:p>
    <w:p w14:paraId="55781D68" w14:textId="78B5166C" w:rsidR="0021127D" w:rsidRPr="001533D1" w:rsidRDefault="001533D1" w:rsidP="008D2A31">
      <w:pPr>
        <w:pStyle w:val="Bezmezer"/>
        <w:jc w:val="both"/>
        <w:rPr>
          <w:b/>
          <w:bCs/>
        </w:rPr>
      </w:pPr>
      <w:r>
        <w:rPr>
          <w:b/>
          <w:bCs/>
        </w:rPr>
        <w:t>Pokud podnikatelé zvažují financovat své záměry úvěrem, nejčastěji mají obavy z</w:t>
      </w:r>
      <w:r w:rsidR="00F24D42">
        <w:rPr>
          <w:b/>
          <w:bCs/>
        </w:rPr>
        <w:t xml:space="preserve"> toho, že jim banka u půjčky nabídne příliš vysoký úrok. </w:t>
      </w:r>
      <w:r w:rsidR="00C860B8">
        <w:rPr>
          <w:b/>
          <w:bCs/>
        </w:rPr>
        <w:t xml:space="preserve">Nervozitu </w:t>
      </w:r>
      <w:r w:rsidR="004D79B4">
        <w:rPr>
          <w:b/>
          <w:bCs/>
        </w:rPr>
        <w:t xml:space="preserve">z možného vývoje ekonomiky pociťuje </w:t>
      </w:r>
      <w:r>
        <w:rPr>
          <w:b/>
          <w:bCs/>
        </w:rPr>
        <w:t xml:space="preserve">71 </w:t>
      </w:r>
      <w:r w:rsidR="00441B6B">
        <w:rPr>
          <w:b/>
          <w:bCs/>
        </w:rPr>
        <w:t>procent</w:t>
      </w:r>
      <w:r>
        <w:rPr>
          <w:b/>
          <w:bCs/>
        </w:rPr>
        <w:t xml:space="preserve"> OSVČ, podobné starosti má 61 </w:t>
      </w:r>
      <w:r w:rsidR="00441B6B">
        <w:rPr>
          <w:b/>
          <w:bCs/>
        </w:rPr>
        <w:t>procent</w:t>
      </w:r>
      <w:r>
        <w:rPr>
          <w:b/>
          <w:bCs/>
        </w:rPr>
        <w:t xml:space="preserve"> firem. Při výběru poskytovatele</w:t>
      </w:r>
      <w:r w:rsidR="003574D9">
        <w:rPr>
          <w:b/>
          <w:bCs/>
        </w:rPr>
        <w:t xml:space="preserve"> se podnikatelé řídí vlastní zkušeností –</w:t>
      </w:r>
      <w:r w:rsidR="004F287E">
        <w:rPr>
          <w:b/>
          <w:bCs/>
        </w:rPr>
        <w:t xml:space="preserve"> </w:t>
      </w:r>
      <w:r w:rsidR="003574D9">
        <w:rPr>
          <w:b/>
          <w:bCs/>
        </w:rPr>
        <w:t>i když porovnávají nabídky různých společností, jejich předvýběr většinou zahrnuje</w:t>
      </w:r>
      <w:r w:rsidR="00042D88">
        <w:rPr>
          <w:b/>
          <w:bCs/>
        </w:rPr>
        <w:t xml:space="preserve"> ty</w:t>
      </w:r>
      <w:r w:rsidR="003574D9">
        <w:rPr>
          <w:b/>
          <w:bCs/>
        </w:rPr>
        <w:t xml:space="preserve"> </w:t>
      </w:r>
      <w:r w:rsidR="00042D88">
        <w:rPr>
          <w:b/>
          <w:bCs/>
        </w:rPr>
        <w:t>poskytovatele</w:t>
      </w:r>
      <w:r w:rsidR="003574D9">
        <w:rPr>
          <w:b/>
          <w:bCs/>
        </w:rPr>
        <w:t>, s nimiž už mají zkušenost.</w:t>
      </w:r>
      <w:r>
        <w:rPr>
          <w:b/>
          <w:bCs/>
        </w:rPr>
        <w:t xml:space="preserve"> </w:t>
      </w:r>
      <w:r w:rsidR="006D65CC" w:rsidRPr="001533D1">
        <w:rPr>
          <w:b/>
          <w:bCs/>
        </w:rPr>
        <w:t>Informace o úvěru hledají podnikatelé především na internetu, méně spoléhají na bankovní a finanční poradce</w:t>
      </w:r>
      <w:r w:rsidR="008B4A2E">
        <w:rPr>
          <w:b/>
          <w:bCs/>
        </w:rPr>
        <w:t>,</w:t>
      </w:r>
      <w:r w:rsidR="004F287E">
        <w:rPr>
          <w:b/>
          <w:bCs/>
        </w:rPr>
        <w:t xml:space="preserve"> a</w:t>
      </w:r>
      <w:r w:rsidR="006D65CC" w:rsidRPr="001533D1">
        <w:rPr>
          <w:b/>
          <w:bCs/>
        </w:rPr>
        <w:t xml:space="preserve"> </w:t>
      </w:r>
      <w:r w:rsidR="004F287E">
        <w:rPr>
          <w:b/>
          <w:bCs/>
        </w:rPr>
        <w:t xml:space="preserve">ještě méně </w:t>
      </w:r>
      <w:r w:rsidR="006D65CC" w:rsidRPr="001533D1">
        <w:rPr>
          <w:b/>
          <w:bCs/>
        </w:rPr>
        <w:t xml:space="preserve">na recenze, </w:t>
      </w:r>
      <w:r w:rsidR="004F287E">
        <w:rPr>
          <w:b/>
          <w:bCs/>
        </w:rPr>
        <w:t>které jsou inspirativní</w:t>
      </w:r>
      <w:r w:rsidR="006D65CC" w:rsidRPr="001533D1">
        <w:rPr>
          <w:b/>
          <w:bCs/>
        </w:rPr>
        <w:t xml:space="preserve"> </w:t>
      </w:r>
      <w:r w:rsidR="006857A2">
        <w:rPr>
          <w:b/>
          <w:bCs/>
        </w:rPr>
        <w:t xml:space="preserve">jen </w:t>
      </w:r>
      <w:r w:rsidR="006D65CC" w:rsidRPr="001533D1">
        <w:rPr>
          <w:b/>
          <w:bCs/>
        </w:rPr>
        <w:t>pro každého desátého podnikatele. Ukázal to průzkum společnosti Home Credit</w:t>
      </w:r>
      <w:r w:rsidR="00812C34" w:rsidRPr="001533D1">
        <w:rPr>
          <w:b/>
          <w:bCs/>
        </w:rPr>
        <w:t>.</w:t>
      </w:r>
    </w:p>
    <w:p w14:paraId="469D64DD" w14:textId="77777777" w:rsidR="00B635E7" w:rsidRDefault="00B635E7" w:rsidP="008D2A31">
      <w:pPr>
        <w:pStyle w:val="Bezmezer"/>
        <w:jc w:val="both"/>
      </w:pPr>
    </w:p>
    <w:p w14:paraId="0D1643A5" w14:textId="6667155F" w:rsidR="00B635E7" w:rsidRPr="00CC4B52" w:rsidRDefault="00D762C9" w:rsidP="008D2A31">
      <w:pPr>
        <w:pStyle w:val="Bezmezer"/>
        <w:jc w:val="both"/>
      </w:pPr>
      <w:r>
        <w:t xml:space="preserve">Ať už jde o financování rozjezdu podnikání, investice do nového vybavení či modernizace, podnikatelé </w:t>
      </w:r>
      <w:r w:rsidR="000B0F9B">
        <w:t xml:space="preserve">pro tyto účely nezřídka volí půjčku. </w:t>
      </w:r>
      <w:r w:rsidR="00990A8D">
        <w:t xml:space="preserve">Takový krok je </w:t>
      </w:r>
      <w:r w:rsidR="00136A88">
        <w:t xml:space="preserve">vždy </w:t>
      </w:r>
      <w:r w:rsidR="00990A8D">
        <w:t xml:space="preserve">vhodné dobře zvážit, propočítat návratnost i schopnost splácení. </w:t>
      </w:r>
      <w:r w:rsidR="00CC4B52">
        <w:t>Přesto existují</w:t>
      </w:r>
      <w:r w:rsidR="00990A8D">
        <w:t xml:space="preserve"> faktory</w:t>
      </w:r>
      <w:r w:rsidR="00CC4B52">
        <w:t xml:space="preserve">, které </w:t>
      </w:r>
      <w:r w:rsidR="00990A8D">
        <w:t xml:space="preserve">podnikatelé </w:t>
      </w:r>
      <w:r w:rsidR="00CC4B52">
        <w:t xml:space="preserve">nemají </w:t>
      </w:r>
      <w:r w:rsidR="00990A8D">
        <w:t>v</w:t>
      </w:r>
      <w:r w:rsidR="00C8224C">
        <w:t>e vlastních</w:t>
      </w:r>
      <w:r w:rsidR="00990A8D">
        <w:t> rukách</w:t>
      </w:r>
      <w:r w:rsidR="00CC4B52">
        <w:t xml:space="preserve"> –</w:t>
      </w:r>
      <w:r w:rsidR="00990A8D">
        <w:t xml:space="preserve"> </w:t>
      </w:r>
      <w:r w:rsidR="00990A8D" w:rsidRPr="00CC4B52">
        <w:rPr>
          <w:i/>
          <w:iCs/>
        </w:rPr>
        <w:t>čeho se nejvíce obávají a čím se při výběru poskytovatele řídí?</w:t>
      </w:r>
      <w:r w:rsidR="00CC4B52">
        <w:rPr>
          <w:i/>
          <w:iCs/>
        </w:rPr>
        <w:t xml:space="preserve"> </w:t>
      </w:r>
    </w:p>
    <w:p w14:paraId="19FDEE2D" w14:textId="77777777" w:rsidR="0021127D" w:rsidRDefault="0021127D" w:rsidP="008D2A31">
      <w:pPr>
        <w:pStyle w:val="Bezmezer"/>
        <w:jc w:val="both"/>
      </w:pPr>
    </w:p>
    <w:p w14:paraId="60ABDBCF" w14:textId="59A8A111" w:rsidR="00C24DE1" w:rsidRDefault="00117E8D" w:rsidP="008D2A31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OSVČ </w:t>
      </w:r>
      <w:r w:rsidR="00670A33">
        <w:rPr>
          <w:b/>
          <w:bCs/>
        </w:rPr>
        <w:t>se více bojí vývoje ekonomické situace</w:t>
      </w:r>
    </w:p>
    <w:p w14:paraId="3BAB2686" w14:textId="0402A923" w:rsidR="00670A33" w:rsidRDefault="00781B7D" w:rsidP="008D2A31">
      <w:pPr>
        <w:pStyle w:val="Bezmezer"/>
        <w:jc w:val="both"/>
      </w:pPr>
      <w:r>
        <w:t>Ačkoliv úvěr otevírá podnikatelům dveře, které by jinak z vlastních zdrojů otevřít nemohli, přirozeně se s ním pojí i určité obavy.</w:t>
      </w:r>
      <w:r w:rsidR="00283705">
        <w:t xml:space="preserve"> Než o půjčku zažádají, zvažují různá pro a proti</w:t>
      </w:r>
      <w:r w:rsidR="00CC4B52">
        <w:t xml:space="preserve"> a </w:t>
      </w:r>
      <w:r w:rsidR="00283705">
        <w:t>hodnotí rizika.</w:t>
      </w:r>
      <w:r>
        <w:t xml:space="preserve"> </w:t>
      </w:r>
      <w:r w:rsidRPr="001115D2">
        <w:rPr>
          <w:i/>
          <w:iCs/>
        </w:rPr>
        <w:t>„</w:t>
      </w:r>
      <w:r w:rsidR="005D4A80" w:rsidRPr="001115D2">
        <w:rPr>
          <w:i/>
          <w:iCs/>
        </w:rPr>
        <w:t xml:space="preserve">Jak OSVČ, tak firmy jsou </w:t>
      </w:r>
      <w:r w:rsidR="009D1A09" w:rsidRPr="001115D2">
        <w:rPr>
          <w:i/>
          <w:iCs/>
        </w:rPr>
        <w:t xml:space="preserve">nejvíce </w:t>
      </w:r>
      <w:r w:rsidR="005D4A80" w:rsidRPr="001115D2">
        <w:rPr>
          <w:i/>
          <w:iCs/>
        </w:rPr>
        <w:t xml:space="preserve">nervózní z toho, že finanční podmínky úvěru </w:t>
      </w:r>
      <w:r w:rsidR="00C260C3" w:rsidRPr="001115D2">
        <w:rPr>
          <w:i/>
          <w:iCs/>
        </w:rPr>
        <w:t xml:space="preserve">budou </w:t>
      </w:r>
      <w:r w:rsidR="005D4A80" w:rsidRPr="001115D2">
        <w:rPr>
          <w:i/>
          <w:iCs/>
        </w:rPr>
        <w:t xml:space="preserve">nevýhodné. Obavy má 74 </w:t>
      </w:r>
      <w:r w:rsidR="00441B6B" w:rsidRPr="001115D2">
        <w:rPr>
          <w:i/>
          <w:iCs/>
        </w:rPr>
        <w:t>procent</w:t>
      </w:r>
      <w:r w:rsidR="005D4A80" w:rsidRPr="001115D2">
        <w:rPr>
          <w:i/>
          <w:iCs/>
        </w:rPr>
        <w:t xml:space="preserve"> živnostníků a 80 </w:t>
      </w:r>
      <w:r w:rsidR="00441B6B" w:rsidRPr="001115D2">
        <w:rPr>
          <w:i/>
          <w:iCs/>
        </w:rPr>
        <w:t>procent</w:t>
      </w:r>
      <w:r w:rsidR="005D4A80" w:rsidRPr="001115D2">
        <w:rPr>
          <w:i/>
          <w:iCs/>
        </w:rPr>
        <w:t xml:space="preserve"> společností. Sdíl</w:t>
      </w:r>
      <w:r w:rsidR="00C260C3" w:rsidRPr="001115D2">
        <w:rPr>
          <w:i/>
          <w:iCs/>
        </w:rPr>
        <w:t>ej</w:t>
      </w:r>
      <w:r w:rsidR="005D4A80" w:rsidRPr="001115D2">
        <w:rPr>
          <w:i/>
          <w:iCs/>
        </w:rPr>
        <w:t xml:space="preserve">í i nejistotu, zda </w:t>
      </w:r>
      <w:r w:rsidR="00C260C3" w:rsidRPr="001115D2">
        <w:rPr>
          <w:i/>
          <w:iCs/>
        </w:rPr>
        <w:t xml:space="preserve">úvěr </w:t>
      </w:r>
      <w:r w:rsidR="005D4A80" w:rsidRPr="001115D2">
        <w:rPr>
          <w:i/>
          <w:iCs/>
        </w:rPr>
        <w:t xml:space="preserve">vůbec </w:t>
      </w:r>
      <w:r w:rsidR="00C260C3" w:rsidRPr="001115D2">
        <w:rPr>
          <w:i/>
          <w:iCs/>
        </w:rPr>
        <w:t>dostanou</w:t>
      </w:r>
      <w:r w:rsidR="005D4A80" w:rsidRPr="001115D2">
        <w:rPr>
          <w:i/>
          <w:iCs/>
        </w:rPr>
        <w:t xml:space="preserve">. </w:t>
      </w:r>
      <w:r w:rsidR="00C05465" w:rsidRPr="001115D2">
        <w:rPr>
          <w:i/>
          <w:iCs/>
        </w:rPr>
        <w:t>D</w:t>
      </w:r>
      <w:r w:rsidR="00752B06" w:rsidRPr="001115D2">
        <w:rPr>
          <w:i/>
          <w:iCs/>
        </w:rPr>
        <w:t>oba je navíc poměrně ne</w:t>
      </w:r>
      <w:r w:rsidR="00C07413" w:rsidRPr="001115D2">
        <w:rPr>
          <w:i/>
          <w:iCs/>
        </w:rPr>
        <w:t>předvídatelná</w:t>
      </w:r>
      <w:r w:rsidR="00752B06" w:rsidRPr="001115D2">
        <w:rPr>
          <w:i/>
          <w:iCs/>
        </w:rPr>
        <w:t xml:space="preserve"> </w:t>
      </w:r>
      <w:r w:rsidR="009C02E8" w:rsidRPr="001115D2">
        <w:rPr>
          <w:i/>
          <w:iCs/>
        </w:rPr>
        <w:t xml:space="preserve">z pohledu </w:t>
      </w:r>
      <w:r w:rsidR="00752B06" w:rsidRPr="001115D2">
        <w:rPr>
          <w:i/>
          <w:iCs/>
        </w:rPr>
        <w:t xml:space="preserve">vývoje ekonomické situace. </w:t>
      </w:r>
      <w:r w:rsidR="00C07413" w:rsidRPr="001115D2">
        <w:rPr>
          <w:i/>
          <w:iCs/>
        </w:rPr>
        <w:t>Poměry se</w:t>
      </w:r>
      <w:r w:rsidR="00752B06" w:rsidRPr="001115D2">
        <w:rPr>
          <w:i/>
          <w:iCs/>
        </w:rPr>
        <w:t xml:space="preserve"> v mnoha odvětvích </w:t>
      </w:r>
      <w:r w:rsidR="00C05465" w:rsidRPr="001115D2">
        <w:rPr>
          <w:i/>
          <w:iCs/>
        </w:rPr>
        <w:t xml:space="preserve">dynamicky </w:t>
      </w:r>
      <w:r w:rsidR="00752B06" w:rsidRPr="001115D2">
        <w:rPr>
          <w:i/>
          <w:iCs/>
        </w:rPr>
        <w:t xml:space="preserve">mění, a to i s ohledem na globální politiku. Větší obavy ze změn mají OSVČ, nejistotu přiznává 71 </w:t>
      </w:r>
      <w:r w:rsidR="00441B6B" w:rsidRPr="001115D2">
        <w:rPr>
          <w:i/>
          <w:iCs/>
        </w:rPr>
        <w:t>procent</w:t>
      </w:r>
      <w:r w:rsidR="00752B06" w:rsidRPr="001115D2">
        <w:rPr>
          <w:i/>
          <w:iCs/>
        </w:rPr>
        <w:t xml:space="preserve"> živnostníků. Oproti tomu firmy jsou méně</w:t>
      </w:r>
      <w:r w:rsidR="008B4A2E" w:rsidRPr="001115D2">
        <w:rPr>
          <w:i/>
          <w:iCs/>
        </w:rPr>
        <w:t xml:space="preserve"> </w:t>
      </w:r>
      <w:r w:rsidR="00AD18DB" w:rsidRPr="001115D2">
        <w:rPr>
          <w:i/>
          <w:iCs/>
        </w:rPr>
        <w:t>nervózní</w:t>
      </w:r>
      <w:r w:rsidR="00752B06" w:rsidRPr="001115D2">
        <w:rPr>
          <w:i/>
          <w:iCs/>
        </w:rPr>
        <w:t xml:space="preserve">, koneckonců mají často </w:t>
      </w:r>
      <w:r w:rsidR="00283705" w:rsidRPr="001115D2">
        <w:rPr>
          <w:i/>
          <w:iCs/>
        </w:rPr>
        <w:t xml:space="preserve">zálohu pro horší časy, takže strach pociťuje 61 </w:t>
      </w:r>
      <w:r w:rsidR="00441B6B" w:rsidRPr="001115D2">
        <w:rPr>
          <w:i/>
          <w:iCs/>
        </w:rPr>
        <w:t>procent</w:t>
      </w:r>
      <w:r w:rsidR="00283705" w:rsidRPr="001115D2">
        <w:rPr>
          <w:i/>
          <w:iCs/>
        </w:rPr>
        <w:t xml:space="preserve"> s.r.o.,“</w:t>
      </w:r>
      <w:r w:rsidR="00283705">
        <w:t xml:space="preserve"> říká </w:t>
      </w:r>
      <w:r w:rsidR="001115D2">
        <w:t xml:space="preserve">Jaroslav Ondrušek, analytik Home Creditu. </w:t>
      </w:r>
      <w:r w:rsidR="00E40E0B">
        <w:t>Obě skupiny pak přirozeně řeší, zda jim příjmy budou stačit na pravideln</w:t>
      </w:r>
      <w:r w:rsidR="00376369">
        <w:t>é</w:t>
      </w:r>
      <w:r w:rsidR="00E40E0B">
        <w:t xml:space="preserve"> splátk</w:t>
      </w:r>
      <w:r w:rsidR="00376369">
        <w:t>y</w:t>
      </w:r>
      <w:r w:rsidR="00E40E0B">
        <w:t xml:space="preserve"> – </w:t>
      </w:r>
      <w:r w:rsidR="00A051F7">
        <w:t xml:space="preserve">jejich starosti </w:t>
      </w:r>
      <w:r w:rsidR="00E40E0B">
        <w:t>může</w:t>
      </w:r>
      <w:r w:rsidR="008B4A2E">
        <w:t xml:space="preserve"> </w:t>
      </w:r>
      <w:r w:rsidR="00C208FD">
        <w:t xml:space="preserve">rozptýlit </w:t>
      </w:r>
      <w:r w:rsidR="00E40E0B">
        <w:t xml:space="preserve">nabídka půjček, </w:t>
      </w:r>
      <w:r w:rsidR="003C3B7D">
        <w:t xml:space="preserve">které dovolují </w:t>
      </w:r>
      <w:r w:rsidR="00E40E0B">
        <w:t>podnikatel</w:t>
      </w:r>
      <w:r w:rsidR="003C3B7D">
        <w:t>i</w:t>
      </w:r>
      <w:r w:rsidR="00E40E0B">
        <w:t xml:space="preserve"> splátku přizpůsobit </w:t>
      </w:r>
      <w:r w:rsidR="00C208FD">
        <w:t xml:space="preserve">jejich možnostem a </w:t>
      </w:r>
      <w:r w:rsidR="00E40E0B">
        <w:t xml:space="preserve">například </w:t>
      </w:r>
      <w:r w:rsidR="00C208FD">
        <w:t xml:space="preserve">i </w:t>
      </w:r>
      <w:r w:rsidR="00E40E0B">
        <w:t xml:space="preserve">sezónním výkyvům. </w:t>
      </w:r>
    </w:p>
    <w:p w14:paraId="35734846" w14:textId="77777777" w:rsidR="00812C34" w:rsidRDefault="00812C34" w:rsidP="008D2A31">
      <w:pPr>
        <w:pStyle w:val="Bezmezer"/>
        <w:jc w:val="both"/>
      </w:pPr>
    </w:p>
    <w:p w14:paraId="35EAC2F2" w14:textId="5DC1478F" w:rsidR="00812C34" w:rsidRPr="00BE6742" w:rsidRDefault="00117E8D" w:rsidP="008D2A31">
      <w:pPr>
        <w:pStyle w:val="Bezmezer"/>
        <w:jc w:val="both"/>
        <w:rPr>
          <w:b/>
          <w:bCs/>
        </w:rPr>
      </w:pPr>
      <w:r>
        <w:rPr>
          <w:b/>
          <w:bCs/>
        </w:rPr>
        <w:t>Výběr poskytovatele? Zkušenost vládne</w:t>
      </w:r>
    </w:p>
    <w:p w14:paraId="75E626B2" w14:textId="793133D6" w:rsidR="003574D9" w:rsidRDefault="00497B00" w:rsidP="00F15D9F">
      <w:pPr>
        <w:pStyle w:val="Bezmezer"/>
        <w:jc w:val="both"/>
      </w:pPr>
      <w:r>
        <w:t>Půjčky pro podnikatele nabízí mnoho bankovních i nebankovních společností</w:t>
      </w:r>
      <w:r w:rsidR="003C101E">
        <w:t>.</w:t>
      </w:r>
      <w:r>
        <w:t xml:space="preserve"> OSVČ nejčastěji zkoumají dva vybrané poskytovatele, činí tak 45 </w:t>
      </w:r>
      <w:r w:rsidR="00441B6B">
        <w:t>procent</w:t>
      </w:r>
      <w:r>
        <w:t xml:space="preserve"> živnostníků. </w:t>
      </w:r>
      <w:r w:rsidRPr="00DC61E9">
        <w:rPr>
          <w:i/>
          <w:iCs/>
        </w:rPr>
        <w:t>„Ještě více si dávají záležet firmy</w:t>
      </w:r>
      <w:r w:rsidR="00B25A54" w:rsidRPr="00DC61E9">
        <w:rPr>
          <w:i/>
          <w:iCs/>
        </w:rPr>
        <w:t xml:space="preserve"> –</w:t>
      </w:r>
      <w:r w:rsidRPr="00DC61E9">
        <w:rPr>
          <w:i/>
          <w:iCs/>
        </w:rPr>
        <w:t xml:space="preserve"> </w:t>
      </w:r>
      <w:r w:rsidR="00327785" w:rsidRPr="00DC61E9">
        <w:rPr>
          <w:i/>
          <w:iCs/>
        </w:rPr>
        <w:t xml:space="preserve">39 </w:t>
      </w:r>
      <w:r w:rsidR="00441B6B" w:rsidRPr="00DC61E9">
        <w:rPr>
          <w:i/>
          <w:iCs/>
        </w:rPr>
        <w:t>procent</w:t>
      </w:r>
      <w:r w:rsidR="00327785" w:rsidRPr="00DC61E9">
        <w:rPr>
          <w:i/>
          <w:iCs/>
        </w:rPr>
        <w:t xml:space="preserve"> jich zvažuje tři poskytovatele. Podnikatelé se přitom hodně řídí svou zkušeností. I když jednotlivé podmínky porovnávají, tak </w:t>
      </w:r>
      <w:r w:rsidR="00B25A54" w:rsidRPr="00DC61E9">
        <w:rPr>
          <w:i/>
          <w:iCs/>
        </w:rPr>
        <w:t xml:space="preserve">především </w:t>
      </w:r>
      <w:r w:rsidR="00327785" w:rsidRPr="00DC61E9">
        <w:rPr>
          <w:i/>
          <w:iCs/>
        </w:rPr>
        <w:t>u předvýběru poskytovatelů, s </w:t>
      </w:r>
      <w:r w:rsidR="00B25A54" w:rsidRPr="00DC61E9">
        <w:rPr>
          <w:i/>
          <w:iCs/>
        </w:rPr>
        <w:t>nimiž</w:t>
      </w:r>
      <w:r w:rsidR="00327785" w:rsidRPr="00DC61E9">
        <w:rPr>
          <w:i/>
          <w:iCs/>
        </w:rPr>
        <w:t xml:space="preserve"> už mají nějakou histor</w:t>
      </w:r>
      <w:r w:rsidR="006C25F2" w:rsidRPr="00DC61E9">
        <w:rPr>
          <w:i/>
          <w:iCs/>
        </w:rPr>
        <w:t>ii</w:t>
      </w:r>
      <w:r w:rsidR="00327785" w:rsidRPr="00DC61E9">
        <w:rPr>
          <w:i/>
          <w:iCs/>
        </w:rPr>
        <w:t xml:space="preserve">. Postupuje tak dokonce 63 </w:t>
      </w:r>
      <w:r w:rsidR="00441B6B" w:rsidRPr="00DC61E9">
        <w:rPr>
          <w:i/>
          <w:iCs/>
        </w:rPr>
        <w:t>procent</w:t>
      </w:r>
      <w:r w:rsidR="00327785" w:rsidRPr="00DC61E9">
        <w:rPr>
          <w:i/>
          <w:iCs/>
        </w:rPr>
        <w:t xml:space="preserve"> firem,“</w:t>
      </w:r>
      <w:r w:rsidR="00327785">
        <w:t xml:space="preserve"> uvádí </w:t>
      </w:r>
      <w:r w:rsidR="001115D2">
        <w:t>Jaroslav Ondrušek</w:t>
      </w:r>
      <w:r w:rsidR="00327785">
        <w:t>. Liší se tak od živnostníků</w:t>
      </w:r>
      <w:r w:rsidR="00B25A54">
        <w:t xml:space="preserve"> –</w:t>
      </w:r>
      <w:r w:rsidR="00327785">
        <w:t xml:space="preserve"> 39 </w:t>
      </w:r>
      <w:r w:rsidR="00441B6B">
        <w:t>procent</w:t>
      </w:r>
      <w:r w:rsidR="00327785">
        <w:t xml:space="preserve"> OSVČ se </w:t>
      </w:r>
      <w:r w:rsidR="00B25A54">
        <w:t>totiž hned</w:t>
      </w:r>
      <w:r w:rsidR="00327785">
        <w:t xml:space="preserve"> obrací pouze na jednoho konkrétního poskytovatele, s nímž už mají svou zkušenost. </w:t>
      </w:r>
    </w:p>
    <w:p w14:paraId="7344A27A" w14:textId="77777777" w:rsidR="000F1F4F" w:rsidRDefault="000F1F4F" w:rsidP="008D2A31">
      <w:pPr>
        <w:pStyle w:val="Bezmezer"/>
        <w:jc w:val="both"/>
      </w:pPr>
    </w:p>
    <w:p w14:paraId="55F56E4D" w14:textId="050543D7" w:rsidR="00117E8D" w:rsidRDefault="00117E8D" w:rsidP="00B4031D">
      <w:pPr>
        <w:pStyle w:val="Bezmezer"/>
        <w:tabs>
          <w:tab w:val="left" w:pos="851"/>
        </w:tabs>
        <w:jc w:val="both"/>
        <w:rPr>
          <w:b/>
          <w:bCs/>
        </w:rPr>
      </w:pPr>
      <w:r>
        <w:rPr>
          <w:b/>
          <w:bCs/>
        </w:rPr>
        <w:t>Při hledání informací hraje hlavní roli internet</w:t>
      </w:r>
      <w:r w:rsidR="006D65CC">
        <w:rPr>
          <w:b/>
          <w:bCs/>
        </w:rPr>
        <w:t>, na recenze podnikatelé nespoléhají</w:t>
      </w:r>
    </w:p>
    <w:p w14:paraId="614FC1B1" w14:textId="00DA8B97" w:rsidR="007160DA" w:rsidRDefault="00CC1C1A" w:rsidP="00B4031D">
      <w:pPr>
        <w:pStyle w:val="Bezmezer"/>
        <w:tabs>
          <w:tab w:val="left" w:pos="851"/>
        </w:tabs>
        <w:jc w:val="both"/>
      </w:pPr>
      <w:r>
        <w:t xml:space="preserve">V situaci, kdy chce firma investovat do nové výroby nebo své podnikání rozšiřuje OSVČ, jsou klíčové kvalitní informace. Koneckonců i u podnikatelských úvěrů platí ono klasické „dvakrát měř a jednou řež“. </w:t>
      </w:r>
      <w:r w:rsidR="00184360">
        <w:t xml:space="preserve">Kde </w:t>
      </w:r>
      <w:r w:rsidR="00F15D9F">
        <w:t>hráči na trhu hledají podrobnosti a podmínky jednotlivých půjček?</w:t>
      </w:r>
      <w:r w:rsidR="00522F87">
        <w:t xml:space="preserve"> Především na internetu. </w:t>
      </w:r>
      <w:r w:rsidR="00300D1B">
        <w:t xml:space="preserve">Webové stránky bank zkoumá </w:t>
      </w:r>
      <w:r w:rsidR="00F15D9F">
        <w:t>39</w:t>
      </w:r>
      <w:r w:rsidR="00522F87">
        <w:t xml:space="preserve"> </w:t>
      </w:r>
      <w:r w:rsidR="00441B6B">
        <w:t>procent</w:t>
      </w:r>
      <w:r w:rsidR="00DC61E9">
        <w:t xml:space="preserve"> respondentů</w:t>
      </w:r>
      <w:r w:rsidR="00522F87">
        <w:t xml:space="preserve">, </w:t>
      </w:r>
      <w:r w:rsidR="00F15D9F">
        <w:t>38</w:t>
      </w:r>
      <w:r w:rsidR="00522F87">
        <w:t xml:space="preserve"> </w:t>
      </w:r>
      <w:r w:rsidR="00441B6B">
        <w:t>procent</w:t>
      </w:r>
      <w:r w:rsidR="00522F87">
        <w:t xml:space="preserve"> se nechá inspirovat různými online srovnávači. Až s odstupem následují bankovní a finanční poradci, u kterých </w:t>
      </w:r>
      <w:r w:rsidR="003C101E">
        <w:t>poptává informace</w:t>
      </w:r>
      <w:r w:rsidR="00522F87">
        <w:t xml:space="preserve"> asi třetina </w:t>
      </w:r>
      <w:r w:rsidR="00DC61E9">
        <w:t>respondentů</w:t>
      </w:r>
      <w:r w:rsidR="00522F87">
        <w:t xml:space="preserve">. </w:t>
      </w:r>
      <w:r w:rsidR="008471A7">
        <w:t xml:space="preserve">Naopak ani jedna skupina příliš nedá na online recenze. Řídí se jimi jen 12 </w:t>
      </w:r>
      <w:r w:rsidR="00441B6B">
        <w:t>procent</w:t>
      </w:r>
      <w:r w:rsidR="008471A7">
        <w:t xml:space="preserve"> </w:t>
      </w:r>
      <w:r w:rsidR="003C101E">
        <w:t>respondentů z obou skupin</w:t>
      </w:r>
      <w:r w:rsidR="008471A7">
        <w:t>.</w:t>
      </w:r>
      <w:r>
        <w:t xml:space="preserve"> </w:t>
      </w:r>
    </w:p>
    <w:p w14:paraId="4E1A9943" w14:textId="77777777" w:rsidR="00F15D9F" w:rsidRDefault="00F15D9F" w:rsidP="00B4031D">
      <w:pPr>
        <w:pStyle w:val="Bezmezer"/>
        <w:tabs>
          <w:tab w:val="left" w:pos="851"/>
        </w:tabs>
        <w:jc w:val="both"/>
      </w:pPr>
    </w:p>
    <w:p w14:paraId="74479490" w14:textId="79D64D7F" w:rsidR="00F15D9F" w:rsidRDefault="00B53B2F" w:rsidP="00B4031D">
      <w:pPr>
        <w:pStyle w:val="Bezmezer"/>
        <w:tabs>
          <w:tab w:val="left" w:pos="851"/>
        </w:tabs>
        <w:jc w:val="both"/>
      </w:pPr>
      <w:r w:rsidRPr="00B53B2F">
        <w:rPr>
          <w:noProof/>
        </w:rPr>
        <w:lastRenderedPageBreak/>
        <w:drawing>
          <wp:inline distT="0" distB="0" distL="0" distR="0" wp14:anchorId="2D67FDD2" wp14:editId="1F76963A">
            <wp:extent cx="6661150" cy="3118485"/>
            <wp:effectExtent l="0" t="0" r="6350" b="5715"/>
            <wp:docPr id="24618718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15A625E-A5B8-FCEA-ED93-4D9097131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696EB7" w14:textId="77777777" w:rsidR="00117E8D" w:rsidRDefault="00117E8D" w:rsidP="00B4031D">
      <w:pPr>
        <w:pStyle w:val="Bezmezer"/>
        <w:tabs>
          <w:tab w:val="left" w:pos="851"/>
        </w:tabs>
        <w:jc w:val="both"/>
      </w:pPr>
    </w:p>
    <w:p w14:paraId="72296C4B" w14:textId="1C4DB6A0" w:rsidR="00227DDF" w:rsidRDefault="0055050D" w:rsidP="00227DDF">
      <w:pPr>
        <w:pStyle w:val="Bezmezer"/>
        <w:tabs>
          <w:tab w:val="left" w:pos="851"/>
        </w:tabs>
        <w:rPr>
          <w:i/>
          <w:iCs/>
        </w:rPr>
      </w:pPr>
      <w:r>
        <w:rPr>
          <w:i/>
          <w:iCs/>
        </w:rPr>
        <w:t>Kvantitativní p</w:t>
      </w:r>
      <w:r w:rsidR="00E86F51" w:rsidRPr="00E86F51">
        <w:rPr>
          <w:i/>
          <w:iCs/>
        </w:rPr>
        <w:t xml:space="preserve">růzkum realizovala pro společnost Home Credit agentura </w:t>
      </w:r>
      <w:bookmarkStart w:id="0" w:name="_Hlk188269675"/>
      <w:r w:rsidR="00227DDF" w:rsidRPr="00227DDF">
        <w:rPr>
          <w:i/>
          <w:iCs/>
        </w:rPr>
        <w:t>Perfect Crowd</w:t>
      </w:r>
      <w:bookmarkEnd w:id="0"/>
      <w:r w:rsidR="00227DDF">
        <w:rPr>
          <w:i/>
          <w:iCs/>
        </w:rPr>
        <w:t xml:space="preserve">. </w:t>
      </w:r>
      <w:r w:rsidR="00227DDF" w:rsidRPr="00227DDF">
        <w:rPr>
          <w:i/>
          <w:iCs/>
        </w:rPr>
        <w:t xml:space="preserve">Sběr dat </w:t>
      </w:r>
      <w:r w:rsidR="00227DDF">
        <w:rPr>
          <w:i/>
          <w:iCs/>
        </w:rPr>
        <w:t>proběhl</w:t>
      </w:r>
      <w:r w:rsidR="007160DA">
        <w:rPr>
          <w:i/>
          <w:iCs/>
        </w:rPr>
        <w:t xml:space="preserve"> </w:t>
      </w:r>
      <w:r w:rsidR="00227DDF" w:rsidRPr="00227DDF">
        <w:rPr>
          <w:i/>
          <w:iCs/>
        </w:rPr>
        <w:t>prostřednictvím výzkumného panelu</w:t>
      </w:r>
      <w:r w:rsidR="00227DDF">
        <w:rPr>
          <w:i/>
          <w:iCs/>
        </w:rPr>
        <w:t>, a to na přelomu listopadu a prosince 202</w:t>
      </w:r>
      <w:r w:rsidR="00613612">
        <w:rPr>
          <w:i/>
          <w:iCs/>
        </w:rPr>
        <w:t>4</w:t>
      </w:r>
      <w:r w:rsidR="00227DDF">
        <w:rPr>
          <w:i/>
          <w:iCs/>
        </w:rPr>
        <w:t>.</w:t>
      </w:r>
    </w:p>
    <w:p w14:paraId="56690739" w14:textId="3A2C7D92" w:rsidR="00E86F51" w:rsidRPr="00E86F51" w:rsidRDefault="00227DDF" w:rsidP="00227DDF">
      <w:pPr>
        <w:pStyle w:val="Bezmezer"/>
        <w:tabs>
          <w:tab w:val="left" w:pos="851"/>
        </w:tabs>
        <w:rPr>
          <w:i/>
          <w:iCs/>
        </w:rPr>
      </w:pPr>
      <w:r>
        <w:rPr>
          <w:i/>
          <w:iCs/>
        </w:rPr>
        <w:t xml:space="preserve">Vzorek: </w:t>
      </w:r>
      <w:r w:rsidRPr="00227DDF">
        <w:rPr>
          <w:i/>
          <w:iCs/>
        </w:rPr>
        <w:t>336, z toho 229 OSVČ a 107 s.r.o.</w:t>
      </w:r>
    </w:p>
    <w:p w14:paraId="03B969F9" w14:textId="10722FFB" w:rsidR="00757F21" w:rsidRDefault="00757F21" w:rsidP="19EA21F9">
      <w:pPr>
        <w:jc w:val="both"/>
        <w:rPr>
          <w:sz w:val="20"/>
          <w:szCs w:val="20"/>
        </w:rPr>
      </w:pPr>
    </w:p>
    <w:p w14:paraId="6F0367CE" w14:textId="54CFB849" w:rsidR="00414ACF" w:rsidRPr="008118AD" w:rsidRDefault="00857320" w:rsidP="00414ACF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2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3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</w:rPr>
        <w:softHyphen/>
      </w:r>
      <w:r w:rsidR="00414ACF" w:rsidRPr="008118AD">
        <w:rPr>
          <w:rFonts w:cstheme="minorHAnsi"/>
          <w:b/>
          <w:bCs/>
        </w:rPr>
        <w:t>Poznámka pro editory:</w:t>
      </w:r>
      <w:r w:rsidR="00414ACF" w:rsidRPr="008118AD">
        <w:rPr>
          <w:rFonts w:cstheme="minorHAnsi"/>
          <w:b/>
          <w:bCs/>
        </w:rPr>
        <w:br/>
      </w:r>
      <w:r w:rsidR="00414ACF" w:rsidRPr="008118AD">
        <w:rPr>
          <w:rFonts w:cstheme="minorHAnsi"/>
          <w:b/>
          <w:bCs/>
        </w:rPr>
        <w:br/>
        <w:t>Společnost Home Credit a.s.</w:t>
      </w:r>
      <w:r w:rsidR="00414ACF" w:rsidRPr="008118AD">
        <w:rPr>
          <w:rFonts w:cstheme="minorHAnsi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="00414ACF" w:rsidRPr="008118AD">
          <w:rPr>
            <w:rStyle w:val="Hypertextovodkaz"/>
            <w:rFonts w:cstheme="minorHAnsi"/>
          </w:rPr>
          <w:t>www.homecredit.cz</w:t>
        </w:r>
      </w:hyperlink>
    </w:p>
    <w:p w14:paraId="70B22E50" w14:textId="77777777" w:rsidR="00414ACF" w:rsidRPr="008118AD" w:rsidRDefault="00414ACF" w:rsidP="00414ACF">
      <w:pPr>
        <w:rPr>
          <w:rFonts w:cstheme="minorHAnsi"/>
        </w:rPr>
      </w:pPr>
      <w:r w:rsidRPr="008118AD">
        <w:rPr>
          <w:rFonts w:cstheme="minorHAnsi"/>
          <w:b/>
          <w:bCs/>
        </w:rPr>
        <w:t>Skupina PPF </w:t>
      </w:r>
      <w:r w:rsidRPr="008118AD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</w:t>
      </w:r>
    </w:p>
    <w:p w14:paraId="497201DC" w14:textId="7EA7A33A" w:rsidR="008118AD" w:rsidRPr="008118AD" w:rsidRDefault="008118AD" w:rsidP="00414ACF">
      <w:pPr>
        <w:rPr>
          <w:rFonts w:cstheme="minorHAnsi"/>
        </w:rPr>
      </w:pPr>
    </w:p>
    <w:p w14:paraId="7B6741B7" w14:textId="35BE35E1" w:rsidR="00A03809" w:rsidRPr="00757F21" w:rsidRDefault="00A03809" w:rsidP="00857320"/>
    <w:sectPr w:rsidR="00A03809" w:rsidRPr="00757F21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AEA6" w14:textId="77777777" w:rsidR="003D484F" w:rsidRDefault="003D484F" w:rsidP="00DE7D53">
      <w:pPr>
        <w:spacing w:after="0" w:line="240" w:lineRule="auto"/>
      </w:pPr>
      <w:r>
        <w:separator/>
      </w:r>
    </w:p>
  </w:endnote>
  <w:endnote w:type="continuationSeparator" w:id="0">
    <w:p w14:paraId="32458A03" w14:textId="77777777" w:rsidR="003D484F" w:rsidRDefault="003D484F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8DB1" w14:textId="77777777" w:rsidR="003D484F" w:rsidRDefault="003D484F" w:rsidP="00DE7D53">
      <w:pPr>
        <w:spacing w:after="0" w:line="240" w:lineRule="auto"/>
      </w:pPr>
      <w:r>
        <w:separator/>
      </w:r>
    </w:p>
  </w:footnote>
  <w:footnote w:type="continuationSeparator" w:id="0">
    <w:p w14:paraId="2E256842" w14:textId="77777777" w:rsidR="003D484F" w:rsidRDefault="003D484F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3FDD"/>
    <w:rsid w:val="00016DF7"/>
    <w:rsid w:val="0001747D"/>
    <w:rsid w:val="000258E4"/>
    <w:rsid w:val="000337EF"/>
    <w:rsid w:val="00034C1D"/>
    <w:rsid w:val="00041243"/>
    <w:rsid w:val="00042D88"/>
    <w:rsid w:val="0004388C"/>
    <w:rsid w:val="0005132D"/>
    <w:rsid w:val="00054154"/>
    <w:rsid w:val="00060DC3"/>
    <w:rsid w:val="000626A5"/>
    <w:rsid w:val="00075B39"/>
    <w:rsid w:val="00092372"/>
    <w:rsid w:val="000A3588"/>
    <w:rsid w:val="000B0F9B"/>
    <w:rsid w:val="000B176E"/>
    <w:rsid w:val="000B7A25"/>
    <w:rsid w:val="000C22A8"/>
    <w:rsid w:val="000C38C0"/>
    <w:rsid w:val="000C5FAB"/>
    <w:rsid w:val="000D2C21"/>
    <w:rsid w:val="000F1F4F"/>
    <w:rsid w:val="0010054A"/>
    <w:rsid w:val="001115D2"/>
    <w:rsid w:val="00117E8D"/>
    <w:rsid w:val="001244B4"/>
    <w:rsid w:val="00136A88"/>
    <w:rsid w:val="00147DC4"/>
    <w:rsid w:val="0015151F"/>
    <w:rsid w:val="00153322"/>
    <w:rsid w:val="001533D1"/>
    <w:rsid w:val="001538D5"/>
    <w:rsid w:val="001556AB"/>
    <w:rsid w:val="00173438"/>
    <w:rsid w:val="00184360"/>
    <w:rsid w:val="00190239"/>
    <w:rsid w:val="001B3B63"/>
    <w:rsid w:val="001C4A0B"/>
    <w:rsid w:val="001C6040"/>
    <w:rsid w:val="001D1A5E"/>
    <w:rsid w:val="001F1948"/>
    <w:rsid w:val="0020241D"/>
    <w:rsid w:val="002060CE"/>
    <w:rsid w:val="0021127D"/>
    <w:rsid w:val="00225811"/>
    <w:rsid w:val="00225A27"/>
    <w:rsid w:val="00227DDF"/>
    <w:rsid w:val="0023131F"/>
    <w:rsid w:val="00237B2A"/>
    <w:rsid w:val="00245A6F"/>
    <w:rsid w:val="002544FA"/>
    <w:rsid w:val="002642D3"/>
    <w:rsid w:val="002724C5"/>
    <w:rsid w:val="00283705"/>
    <w:rsid w:val="002844EA"/>
    <w:rsid w:val="002A77E0"/>
    <w:rsid w:val="002B319F"/>
    <w:rsid w:val="002B748E"/>
    <w:rsid w:val="002B74FE"/>
    <w:rsid w:val="002C3986"/>
    <w:rsid w:val="002C6E10"/>
    <w:rsid w:val="002D4B81"/>
    <w:rsid w:val="002E51E9"/>
    <w:rsid w:val="002E5D48"/>
    <w:rsid w:val="00300D1B"/>
    <w:rsid w:val="003117BA"/>
    <w:rsid w:val="00320861"/>
    <w:rsid w:val="00327785"/>
    <w:rsid w:val="003313BF"/>
    <w:rsid w:val="0033307B"/>
    <w:rsid w:val="003352A0"/>
    <w:rsid w:val="00337CE9"/>
    <w:rsid w:val="00337ECC"/>
    <w:rsid w:val="00340A54"/>
    <w:rsid w:val="00342D93"/>
    <w:rsid w:val="00351D5A"/>
    <w:rsid w:val="003574D9"/>
    <w:rsid w:val="00365ED9"/>
    <w:rsid w:val="00372FD1"/>
    <w:rsid w:val="00376369"/>
    <w:rsid w:val="00382865"/>
    <w:rsid w:val="0039201C"/>
    <w:rsid w:val="003930FB"/>
    <w:rsid w:val="003973A5"/>
    <w:rsid w:val="003B0754"/>
    <w:rsid w:val="003B094A"/>
    <w:rsid w:val="003C101E"/>
    <w:rsid w:val="003C3B7D"/>
    <w:rsid w:val="003D484F"/>
    <w:rsid w:val="00400EF4"/>
    <w:rsid w:val="00404151"/>
    <w:rsid w:val="00414ACF"/>
    <w:rsid w:val="00414E86"/>
    <w:rsid w:val="00422E59"/>
    <w:rsid w:val="00431AA1"/>
    <w:rsid w:val="004329AD"/>
    <w:rsid w:val="00437CC2"/>
    <w:rsid w:val="00441B6B"/>
    <w:rsid w:val="0044476B"/>
    <w:rsid w:val="004566A5"/>
    <w:rsid w:val="00464F26"/>
    <w:rsid w:val="00471228"/>
    <w:rsid w:val="00474E53"/>
    <w:rsid w:val="004772A7"/>
    <w:rsid w:val="004849A2"/>
    <w:rsid w:val="00496B61"/>
    <w:rsid w:val="00497B00"/>
    <w:rsid w:val="004B000E"/>
    <w:rsid w:val="004B6DDA"/>
    <w:rsid w:val="004D28BF"/>
    <w:rsid w:val="004D54F9"/>
    <w:rsid w:val="004D6F1A"/>
    <w:rsid w:val="004D79B4"/>
    <w:rsid w:val="004E563F"/>
    <w:rsid w:val="004E5886"/>
    <w:rsid w:val="004E7E5B"/>
    <w:rsid w:val="004F1870"/>
    <w:rsid w:val="004F287E"/>
    <w:rsid w:val="004F7BC3"/>
    <w:rsid w:val="00516B28"/>
    <w:rsid w:val="00521B37"/>
    <w:rsid w:val="00522F87"/>
    <w:rsid w:val="00526A56"/>
    <w:rsid w:val="00543611"/>
    <w:rsid w:val="00543E57"/>
    <w:rsid w:val="005469CC"/>
    <w:rsid w:val="0055050D"/>
    <w:rsid w:val="005534BB"/>
    <w:rsid w:val="00556BF8"/>
    <w:rsid w:val="005663A1"/>
    <w:rsid w:val="005734F3"/>
    <w:rsid w:val="005750CF"/>
    <w:rsid w:val="00594705"/>
    <w:rsid w:val="005A4A96"/>
    <w:rsid w:val="005A6D20"/>
    <w:rsid w:val="005A7444"/>
    <w:rsid w:val="005B1CAC"/>
    <w:rsid w:val="005B294A"/>
    <w:rsid w:val="005B38A7"/>
    <w:rsid w:val="005C5350"/>
    <w:rsid w:val="005D00D2"/>
    <w:rsid w:val="005D4695"/>
    <w:rsid w:val="005D4A80"/>
    <w:rsid w:val="005E5941"/>
    <w:rsid w:val="00611C9C"/>
    <w:rsid w:val="00613612"/>
    <w:rsid w:val="00616F14"/>
    <w:rsid w:val="0063006A"/>
    <w:rsid w:val="00631D86"/>
    <w:rsid w:val="00666849"/>
    <w:rsid w:val="00666EE8"/>
    <w:rsid w:val="00670626"/>
    <w:rsid w:val="00670A33"/>
    <w:rsid w:val="00676BCB"/>
    <w:rsid w:val="00677C64"/>
    <w:rsid w:val="00681027"/>
    <w:rsid w:val="006829FB"/>
    <w:rsid w:val="0068436B"/>
    <w:rsid w:val="006857A2"/>
    <w:rsid w:val="00690EB7"/>
    <w:rsid w:val="006A0182"/>
    <w:rsid w:val="006A6985"/>
    <w:rsid w:val="006A7143"/>
    <w:rsid w:val="006C25F2"/>
    <w:rsid w:val="006C2E5F"/>
    <w:rsid w:val="006D0801"/>
    <w:rsid w:val="006D2815"/>
    <w:rsid w:val="006D65CC"/>
    <w:rsid w:val="006E0DF7"/>
    <w:rsid w:val="006F12D6"/>
    <w:rsid w:val="006F5EE1"/>
    <w:rsid w:val="006F65BD"/>
    <w:rsid w:val="007013D1"/>
    <w:rsid w:val="00706B8D"/>
    <w:rsid w:val="00710DD9"/>
    <w:rsid w:val="0071296F"/>
    <w:rsid w:val="007160DA"/>
    <w:rsid w:val="00727F45"/>
    <w:rsid w:val="00733CF4"/>
    <w:rsid w:val="00742FC0"/>
    <w:rsid w:val="00745144"/>
    <w:rsid w:val="00746265"/>
    <w:rsid w:val="00752B06"/>
    <w:rsid w:val="00757F21"/>
    <w:rsid w:val="00761600"/>
    <w:rsid w:val="00762620"/>
    <w:rsid w:val="00771A11"/>
    <w:rsid w:val="00775DD8"/>
    <w:rsid w:val="00781B7D"/>
    <w:rsid w:val="00785884"/>
    <w:rsid w:val="00787811"/>
    <w:rsid w:val="007903F7"/>
    <w:rsid w:val="007905DB"/>
    <w:rsid w:val="007944C2"/>
    <w:rsid w:val="007B1A28"/>
    <w:rsid w:val="007B56E0"/>
    <w:rsid w:val="007C3873"/>
    <w:rsid w:val="007C63DD"/>
    <w:rsid w:val="007E60C9"/>
    <w:rsid w:val="007F1C60"/>
    <w:rsid w:val="008118AD"/>
    <w:rsid w:val="00812C34"/>
    <w:rsid w:val="0081541E"/>
    <w:rsid w:val="00816F96"/>
    <w:rsid w:val="00817A9D"/>
    <w:rsid w:val="0083144D"/>
    <w:rsid w:val="00833544"/>
    <w:rsid w:val="0084345C"/>
    <w:rsid w:val="008471A7"/>
    <w:rsid w:val="00851122"/>
    <w:rsid w:val="00854255"/>
    <w:rsid w:val="00857320"/>
    <w:rsid w:val="00870A3B"/>
    <w:rsid w:val="00886B2A"/>
    <w:rsid w:val="00892968"/>
    <w:rsid w:val="00896DE3"/>
    <w:rsid w:val="008B01C6"/>
    <w:rsid w:val="008B4A2E"/>
    <w:rsid w:val="008B5781"/>
    <w:rsid w:val="008B7C91"/>
    <w:rsid w:val="008C73C2"/>
    <w:rsid w:val="008D04B2"/>
    <w:rsid w:val="008D2A31"/>
    <w:rsid w:val="008D76AC"/>
    <w:rsid w:val="008E4EA0"/>
    <w:rsid w:val="008F1713"/>
    <w:rsid w:val="008F33F8"/>
    <w:rsid w:val="008F5727"/>
    <w:rsid w:val="009008E7"/>
    <w:rsid w:val="009060E1"/>
    <w:rsid w:val="00915B4C"/>
    <w:rsid w:val="00917F57"/>
    <w:rsid w:val="00930B43"/>
    <w:rsid w:val="00932E40"/>
    <w:rsid w:val="00947764"/>
    <w:rsid w:val="00952FF5"/>
    <w:rsid w:val="00963B37"/>
    <w:rsid w:val="00983CFD"/>
    <w:rsid w:val="00986EC5"/>
    <w:rsid w:val="009906A1"/>
    <w:rsid w:val="00990A8D"/>
    <w:rsid w:val="009A472D"/>
    <w:rsid w:val="009A5EF7"/>
    <w:rsid w:val="009B3DF7"/>
    <w:rsid w:val="009B6D65"/>
    <w:rsid w:val="009B7D35"/>
    <w:rsid w:val="009C02E8"/>
    <w:rsid w:val="009D1A09"/>
    <w:rsid w:val="009D4F20"/>
    <w:rsid w:val="009E07AE"/>
    <w:rsid w:val="009E2803"/>
    <w:rsid w:val="009E7C2B"/>
    <w:rsid w:val="009F14A6"/>
    <w:rsid w:val="009F1796"/>
    <w:rsid w:val="009F225D"/>
    <w:rsid w:val="009F49C0"/>
    <w:rsid w:val="00A01CA2"/>
    <w:rsid w:val="00A03809"/>
    <w:rsid w:val="00A051F7"/>
    <w:rsid w:val="00A06754"/>
    <w:rsid w:val="00A124A3"/>
    <w:rsid w:val="00A23C53"/>
    <w:rsid w:val="00A27351"/>
    <w:rsid w:val="00A349BF"/>
    <w:rsid w:val="00A35F64"/>
    <w:rsid w:val="00A51607"/>
    <w:rsid w:val="00A77916"/>
    <w:rsid w:val="00A840D2"/>
    <w:rsid w:val="00A857B2"/>
    <w:rsid w:val="00A87E01"/>
    <w:rsid w:val="00A91A74"/>
    <w:rsid w:val="00A965D8"/>
    <w:rsid w:val="00AA3C26"/>
    <w:rsid w:val="00AB4050"/>
    <w:rsid w:val="00AC441B"/>
    <w:rsid w:val="00AC6A1B"/>
    <w:rsid w:val="00AD18DB"/>
    <w:rsid w:val="00B13578"/>
    <w:rsid w:val="00B170F3"/>
    <w:rsid w:val="00B25A54"/>
    <w:rsid w:val="00B25C9D"/>
    <w:rsid w:val="00B26453"/>
    <w:rsid w:val="00B306A2"/>
    <w:rsid w:val="00B319B2"/>
    <w:rsid w:val="00B3294C"/>
    <w:rsid w:val="00B4031D"/>
    <w:rsid w:val="00B53471"/>
    <w:rsid w:val="00B53B2F"/>
    <w:rsid w:val="00B620D9"/>
    <w:rsid w:val="00B633AA"/>
    <w:rsid w:val="00B635E7"/>
    <w:rsid w:val="00B67638"/>
    <w:rsid w:val="00B750BC"/>
    <w:rsid w:val="00B77112"/>
    <w:rsid w:val="00B77C1C"/>
    <w:rsid w:val="00B82787"/>
    <w:rsid w:val="00B84072"/>
    <w:rsid w:val="00B932EC"/>
    <w:rsid w:val="00B94024"/>
    <w:rsid w:val="00BA2788"/>
    <w:rsid w:val="00BA659F"/>
    <w:rsid w:val="00BA6DF0"/>
    <w:rsid w:val="00BC4A25"/>
    <w:rsid w:val="00BD5734"/>
    <w:rsid w:val="00BD7F81"/>
    <w:rsid w:val="00BE6742"/>
    <w:rsid w:val="00BF243D"/>
    <w:rsid w:val="00C01969"/>
    <w:rsid w:val="00C05465"/>
    <w:rsid w:val="00C07413"/>
    <w:rsid w:val="00C12DE0"/>
    <w:rsid w:val="00C150C8"/>
    <w:rsid w:val="00C208FD"/>
    <w:rsid w:val="00C22705"/>
    <w:rsid w:val="00C24DE1"/>
    <w:rsid w:val="00C260C3"/>
    <w:rsid w:val="00C26B9E"/>
    <w:rsid w:val="00C35815"/>
    <w:rsid w:val="00C54685"/>
    <w:rsid w:val="00C73DD5"/>
    <w:rsid w:val="00C8139E"/>
    <w:rsid w:val="00C8224C"/>
    <w:rsid w:val="00C860B8"/>
    <w:rsid w:val="00C87316"/>
    <w:rsid w:val="00C906E1"/>
    <w:rsid w:val="00C919EF"/>
    <w:rsid w:val="00C91EC2"/>
    <w:rsid w:val="00CB0D09"/>
    <w:rsid w:val="00CC1C1A"/>
    <w:rsid w:val="00CC46FC"/>
    <w:rsid w:val="00CC4B52"/>
    <w:rsid w:val="00CC56FF"/>
    <w:rsid w:val="00CD3DFF"/>
    <w:rsid w:val="00CD59AB"/>
    <w:rsid w:val="00CE3174"/>
    <w:rsid w:val="00CF190D"/>
    <w:rsid w:val="00CF1DD1"/>
    <w:rsid w:val="00CF701E"/>
    <w:rsid w:val="00D028C5"/>
    <w:rsid w:val="00D21717"/>
    <w:rsid w:val="00D3119D"/>
    <w:rsid w:val="00D6122B"/>
    <w:rsid w:val="00D63311"/>
    <w:rsid w:val="00D762C9"/>
    <w:rsid w:val="00D83371"/>
    <w:rsid w:val="00D932D8"/>
    <w:rsid w:val="00D95D30"/>
    <w:rsid w:val="00D97126"/>
    <w:rsid w:val="00DA001E"/>
    <w:rsid w:val="00DA5932"/>
    <w:rsid w:val="00DB092E"/>
    <w:rsid w:val="00DB2DFD"/>
    <w:rsid w:val="00DB6859"/>
    <w:rsid w:val="00DC16E3"/>
    <w:rsid w:val="00DC61E9"/>
    <w:rsid w:val="00DE2199"/>
    <w:rsid w:val="00DE7D53"/>
    <w:rsid w:val="00DF2C93"/>
    <w:rsid w:val="00E01A94"/>
    <w:rsid w:val="00E147EE"/>
    <w:rsid w:val="00E2104D"/>
    <w:rsid w:val="00E267DC"/>
    <w:rsid w:val="00E272D6"/>
    <w:rsid w:val="00E325C4"/>
    <w:rsid w:val="00E40E0B"/>
    <w:rsid w:val="00E40F9A"/>
    <w:rsid w:val="00E541EA"/>
    <w:rsid w:val="00E546FF"/>
    <w:rsid w:val="00E54867"/>
    <w:rsid w:val="00E56FB9"/>
    <w:rsid w:val="00E5712C"/>
    <w:rsid w:val="00E57FBD"/>
    <w:rsid w:val="00E6587E"/>
    <w:rsid w:val="00E65ACE"/>
    <w:rsid w:val="00E66B06"/>
    <w:rsid w:val="00E702BF"/>
    <w:rsid w:val="00E71696"/>
    <w:rsid w:val="00E84866"/>
    <w:rsid w:val="00E86F51"/>
    <w:rsid w:val="00EA0A96"/>
    <w:rsid w:val="00EA4D5E"/>
    <w:rsid w:val="00EA5F69"/>
    <w:rsid w:val="00ED2E24"/>
    <w:rsid w:val="00ED376D"/>
    <w:rsid w:val="00ED6365"/>
    <w:rsid w:val="00EE1EBE"/>
    <w:rsid w:val="00EE65D5"/>
    <w:rsid w:val="00F15D9F"/>
    <w:rsid w:val="00F24D42"/>
    <w:rsid w:val="00F26057"/>
    <w:rsid w:val="00F37C6E"/>
    <w:rsid w:val="00F40227"/>
    <w:rsid w:val="00F41E34"/>
    <w:rsid w:val="00F50C9D"/>
    <w:rsid w:val="00F5278C"/>
    <w:rsid w:val="00F5353C"/>
    <w:rsid w:val="00F537A0"/>
    <w:rsid w:val="00F642BA"/>
    <w:rsid w:val="00F65636"/>
    <w:rsid w:val="00F748B5"/>
    <w:rsid w:val="00F7632C"/>
    <w:rsid w:val="00F84401"/>
    <w:rsid w:val="00F91AB4"/>
    <w:rsid w:val="00F95512"/>
    <w:rsid w:val="00FB5810"/>
    <w:rsid w:val="00FB6058"/>
    <w:rsid w:val="00FC078A"/>
    <w:rsid w:val="00FE1AAA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aterina.Dobesova\AppData\Local\Microsoft\Windows\INetCache\Content.Outlook\GVP9OBKL\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dirty="0"/>
              <a:t>ZDROJ</a:t>
            </a:r>
            <a:r>
              <a:rPr lang="cs-CZ" sz="1200" b="1" baseline="0" dirty="0"/>
              <a:t> INFORMACÍ O ÚVĚRU</a:t>
            </a:r>
            <a:endParaRPr lang="cs-CZ" sz="1200" b="1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003461118099919"/>
          <c:y val="0.10564074803149606"/>
          <c:w val="0.87230057098555602"/>
          <c:h val="0.876756151574803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s.r.o.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Recenze na internetu</c:v>
                </c:pt>
                <c:pt idx="1">
                  <c:v>IB nebo MB</c:v>
                </c:pt>
                <c:pt idx="2">
                  <c:v>Finanční poradce</c:v>
                </c:pt>
                <c:pt idx="3">
                  <c:v>Bankovní poradce</c:v>
                </c:pt>
                <c:pt idx="4">
                  <c:v>Internetové srovnávače</c:v>
                </c:pt>
                <c:pt idx="5">
                  <c:v> Internetové stránky banky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6"/>
                <c:pt idx="0">
                  <c:v>0.12149532710280374</c:v>
                </c:pt>
                <c:pt idx="1">
                  <c:v>0.12149532710280374</c:v>
                </c:pt>
                <c:pt idx="2">
                  <c:v>0.3644859813084112</c:v>
                </c:pt>
                <c:pt idx="3">
                  <c:v>0.3644859813084112</c:v>
                </c:pt>
                <c:pt idx="4">
                  <c:v>0.41121495327102803</c:v>
                </c:pt>
                <c:pt idx="5">
                  <c:v>0.42990654205607476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6-42D6-A69B-7F095FEAEBD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OSVČ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Recenze na internetu</c:v>
                </c:pt>
                <c:pt idx="1">
                  <c:v>IB nebo MB</c:v>
                </c:pt>
                <c:pt idx="2">
                  <c:v>Finanční poradce</c:v>
                </c:pt>
                <c:pt idx="3">
                  <c:v>Bankovní poradce</c:v>
                </c:pt>
                <c:pt idx="4">
                  <c:v>Internetové srovnávače</c:v>
                </c:pt>
                <c:pt idx="5">
                  <c:v> Internetové stránky banky</c:v>
                </c:pt>
              </c:strCache>
            </c:strRef>
          </c:cat>
          <c:val>
            <c:numRef>
              <c:f>List1!$C$2:$C$7</c:f>
              <c:numCache>
                <c:formatCode>0%</c:formatCode>
                <c:ptCount val="6"/>
                <c:pt idx="0">
                  <c:v>0.11790393013100436</c:v>
                </c:pt>
                <c:pt idx="1">
                  <c:v>0.28820960698689957</c:v>
                </c:pt>
                <c:pt idx="2">
                  <c:v>0.2576419213973799</c:v>
                </c:pt>
                <c:pt idx="3">
                  <c:v>0.32751091703056767</c:v>
                </c:pt>
                <c:pt idx="4">
                  <c:v>0.36244541484716158</c:v>
                </c:pt>
                <c:pt idx="5">
                  <c:v>0.37554585152838427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6-42D6-A69B-7F095FEAEBD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Recenze na internetu</c:v>
                </c:pt>
                <c:pt idx="1">
                  <c:v>IB nebo MB</c:v>
                </c:pt>
                <c:pt idx="2">
                  <c:v>Finanční poradce</c:v>
                </c:pt>
                <c:pt idx="3">
                  <c:v>Bankovní poradce</c:v>
                </c:pt>
                <c:pt idx="4">
                  <c:v>Internetové srovnávače</c:v>
                </c:pt>
                <c:pt idx="5">
                  <c:v> Internetové stránky banky</c:v>
                </c:pt>
              </c:strCache>
            </c:strRef>
          </c:cat>
          <c:val>
            <c:numRef>
              <c:f>List1!$D$2:$D$7</c:f>
              <c:numCache>
                <c:formatCode>0%</c:formatCode>
                <c:ptCount val="6"/>
                <c:pt idx="0">
                  <c:v>0.11904761904761904</c:v>
                </c:pt>
                <c:pt idx="1">
                  <c:v>0.23511904761904762</c:v>
                </c:pt>
                <c:pt idx="2">
                  <c:v>0.29166666666666669</c:v>
                </c:pt>
                <c:pt idx="3">
                  <c:v>0.3392857142857143</c:v>
                </c:pt>
                <c:pt idx="4">
                  <c:v>0.37797619047619047</c:v>
                </c:pt>
                <c:pt idx="5">
                  <c:v>0.39285714285714285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6-42D6-A69B-7F095FEAE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91453024"/>
        <c:axId val="791450144"/>
      </c:barChart>
      <c:catAx>
        <c:axId val="79145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91450144"/>
        <c:crosses val="autoZero"/>
        <c:auto val="1"/>
        <c:lblAlgn val="ctr"/>
        <c:lblOffset val="100"/>
        <c:noMultiLvlLbl val="0"/>
      </c:catAx>
      <c:valAx>
        <c:axId val="79145014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9145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86526480605826"/>
          <c:y val="0.88815323197934082"/>
          <c:w val="0.15732123707913886"/>
          <c:h val="8.94781003937007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4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4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4</cp:revision>
  <cp:lastPrinted>2025-01-28T08:08:00Z</cp:lastPrinted>
  <dcterms:created xsi:type="dcterms:W3CDTF">2025-03-09T19:04:00Z</dcterms:created>
  <dcterms:modified xsi:type="dcterms:W3CDTF">2025-03-11T09:26:00Z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